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5 марта 2018 г. N 228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РЕЕСТРЕ ЛИЦ, УВОЛЕННЫХ В СВЯЗИ С УТРАТОЙ ДОВЕРИЯ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реестре лиц, уволенных в связи с утратой доверия.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марта 2018 г. N 228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РЕЕСТРЕ ЛИЦ, УВОЛЕННЫХ В СВЯЗИ С УТРАТОЙ ДОВЕРИЯ</w:t>
      </w: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"Интернет" (далее - единая система).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реестра сведений по основаниям, указанным в </w:t>
      </w:r>
      <w:hyperlink w:anchor="Par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 w:cs="Times New Roman"/>
          <w:sz w:val="28"/>
          <w:szCs w:val="28"/>
        </w:rPr>
        <w:t>6. Сведения направляются в федеральный государственный орган: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>
        <w:rPr>
          <w:rFonts w:ascii="Times New Roman" w:hAnsi="Times New Roman" w:cs="Times New Roman"/>
          <w:sz w:val="28"/>
          <w:szCs w:val="28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указанное в </w:t>
      </w:r>
      <w:hyperlink w:anchor="Par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указанное в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 в уполномоченный государственный орган (уполномоченную организацию).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лицо, указанное в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информацию, указанную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ar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лицо, указанное в </w:t>
      </w:r>
      <w:hyperlink w:anchor="Par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информацию, указанную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7"/>
      <w:bookmarkEnd w:id="7"/>
      <w:r>
        <w:rPr>
          <w:rFonts w:ascii="Times New Roman" w:hAnsi="Times New Roman" w:cs="Times New Roman"/>
          <w:sz w:val="28"/>
          <w:szCs w:val="28"/>
        </w:rPr>
        <w:t xml:space="preserve">12. Для включения сведений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"/>
      <w:bookmarkEnd w:id="8"/>
      <w:r>
        <w:rPr>
          <w:rFonts w:ascii="Times New Roman" w:hAnsi="Times New Roman" w:cs="Times New Roman"/>
          <w:sz w:val="28"/>
          <w:szCs w:val="28"/>
        </w:rPr>
        <w:t>15. Сведения исключаются из реестра по следующим основаниям: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0"/>
      <w:bookmarkEnd w:id="9"/>
      <w:r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"/>
      <w:bookmarkEnd w:id="11"/>
      <w:r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"/>
      <w:bookmarkEnd w:id="12"/>
      <w:r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позднее 10 рабочих дней со дня поступления информации в соответствии с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- по основаниям, предусмотренным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следующий календарный день после наступления основания, предусмотренного </w:t>
      </w:r>
      <w:hyperlink w:anchor="Par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позднее 10 рабочих дней со дня поступления информации в соответствии с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- по основанию, предусмотренному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8"/>
      <w:bookmarkEnd w:id="13"/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лицо, указанное в </w:t>
      </w:r>
      <w:hyperlink w:anchor="Par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со дня получения уведомления или письменного заявления в соответствии с </w:t>
      </w:r>
      <w:hyperlink w:anchor="Par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9"/>
      <w:bookmarkEnd w:id="14"/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лицо, указанное в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со дня получения письменного заявления в соответствии с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0"/>
      <w:bookmarkEnd w:id="15"/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исключения из реестра сведений по основанию, предусмотренному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71"/>
      <w:bookmarkEnd w:id="16"/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исключения из реестра сведений по основанию, предусмотренному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2"/>
      <w:bookmarkEnd w:id="17"/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порядковый номер;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дату размещения информации на официальном сайте единой системы.</w:t>
      </w:r>
    </w:p>
    <w:p w:rsidR="00347837" w:rsidRDefault="00347837" w:rsidP="0034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</w:t>
      </w:r>
      <w:bookmarkStart w:id="18" w:name="_GoBack"/>
      <w:bookmarkEnd w:id="18"/>
      <w:r>
        <w:rPr>
          <w:rFonts w:ascii="Times New Roman" w:hAnsi="Times New Roman" w:cs="Times New Roman"/>
          <w:sz w:val="28"/>
          <w:szCs w:val="28"/>
        </w:rPr>
        <w:t>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37" w:rsidRDefault="00347837" w:rsidP="0034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CA3" w:rsidRDefault="00181CA3"/>
    <w:sectPr w:rsidR="00181CA3" w:rsidSect="00452BFF">
      <w:pgSz w:w="11905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D"/>
    <w:rsid w:val="00181CA3"/>
    <w:rsid w:val="00347837"/>
    <w:rsid w:val="004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09336C574F8D4A1FFCC00A93D25FDD30574EB4D116EDD08B27EC16E33A45A4358FC9CA11D23B3CW95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2544</Words>
  <Characters>14503</Characters>
  <Application>Microsoft Office Word</Application>
  <DocSecurity>0</DocSecurity>
  <Lines>120</Lines>
  <Paragraphs>34</Paragraphs>
  <ScaleCrop>false</ScaleCrop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Ю. В. Скурьят</cp:lastModifiedBy>
  <cp:revision>2</cp:revision>
  <dcterms:created xsi:type="dcterms:W3CDTF">2018-06-15T07:58:00Z</dcterms:created>
  <dcterms:modified xsi:type="dcterms:W3CDTF">2018-06-15T07:59:00Z</dcterms:modified>
</cp:coreProperties>
</file>